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Open Sans" w:cs="Open Sans" w:eastAsia="Open Sans" w:hAnsi="Open Sans"/>
        </w:rPr>
      </w:pPr>
      <w:bookmarkStart w:colFirst="0" w:colLast="0" w:name="_ynxiqisuz2cr" w:id="0"/>
      <w:bookmarkEnd w:id="0"/>
      <w:r w:rsidDel="00000000" w:rsidR="00000000" w:rsidRPr="00000000">
        <w:rPr>
          <w:rFonts w:ascii="Calibri" w:cs="Calibri" w:eastAsia="Calibri" w:hAnsi="Calibri"/>
          <w:rtl w:val="0"/>
        </w:rPr>
        <w:t xml:space="preserve">VACATION</w:t>
      </w:r>
      <w:r w:rsidDel="00000000" w:rsidR="00000000" w:rsidRPr="00000000">
        <w:rPr>
          <w:rFonts w:ascii="Calibri" w:cs="Calibri" w:eastAsia="Calibri" w:hAnsi="Calibri"/>
          <w:rtl w:val="0"/>
        </w:rPr>
        <w:t xml:space="preserve"> 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at minimum. In the event that an employee’s employment contract provides a greater benefit, the employment contract shall take precedence.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tbl>
      <w:tblPr>
        <w:tblStyle w:val="Table1"/>
        <w:tblW w:w="7305.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640"/>
        <w:gridCol w:w="2655"/>
        <w:tblGridChange w:id="0">
          <w:tblGrid>
            <w:gridCol w:w="2010"/>
            <w:gridCol w:w="2640"/>
            <w:gridCol w:w="2655"/>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b w:val="1"/>
              </w:rPr>
            </w:pPr>
            <w:r w:rsidDel="00000000" w:rsidR="00000000" w:rsidRPr="00000000">
              <w:rPr>
                <w:rFonts w:ascii="Calibri" w:cs="Calibri" w:eastAsia="Calibri" w:hAnsi="Calibri"/>
                <w:b w:val="1"/>
                <w:rtl w:val="0"/>
              </w:rPr>
              <w:t xml:space="preserve">YEARS OF SERVICE</w:t>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 1-5 Years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6 or More Years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Time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Two weeks (10 days)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Three weeks (15 days)</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Pay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4% gross wages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6% gross wages</w:t>
            </w:r>
          </w:p>
        </w:tc>
      </w:tr>
    </w:tb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six years of employment, and at least six per cent of the gross wages thereafter.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provided within the next six (6) months of being accrued.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However, employees earn vacation pay as they earn wages. Therefore, if an employee works even just one hour, they are still entitled to at least four per cent (or six per cent, depending on length of employment) of the hour's wages as vacation pay.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Time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may not be carried over into the following year and must be taken within six months of it having been accumulated. [Organization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[Organization Name] will pay employees at the appropriate rate, at least 24 hours prior to the beginning of the vacation or at an earlier prescribed time, the vacation pay to which the employee is entitled in respect of that vacation. A vacation pay agreement form may be requested.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Termination of Employment</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employment is terminated prior to an employee taking their vacation time, it will be paid out to them within 10 days of the employee’s last day of work.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